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7872" w14:textId="77777777" w:rsidR="007116C4" w:rsidRPr="00E415F7" w:rsidRDefault="007116C4" w:rsidP="007116C4">
      <w:pPr>
        <w:spacing w:before="120" w:after="0" w:line="240" w:lineRule="auto"/>
        <w:jc w:val="center"/>
        <w:rPr>
          <w:rFonts w:cstheme="minorHAnsi"/>
          <w:b/>
          <w:caps/>
          <w:lang w:val="lv-LV"/>
        </w:rPr>
      </w:pPr>
      <w:r w:rsidRPr="00E415F7">
        <w:rPr>
          <w:rFonts w:cstheme="minorHAnsi"/>
          <w:b/>
          <w:caps/>
          <w:lang w:val="lv-LV"/>
        </w:rPr>
        <w:t>NOTEIKUMI PAR KUKUĻOŠANAS, KORUPCIJAS UN NODOKĻU NEMAKSĀŠANAS APKAROŠANU, KĀ ARĪ VERDZĪBAS UN CILVĒKU TIRDZNIECĪBAS AIZLIEGUMU</w:t>
      </w:r>
    </w:p>
    <w:p w14:paraId="6BF181B2" w14:textId="77777777" w:rsidR="007116C4" w:rsidRPr="00E415F7" w:rsidRDefault="007116C4" w:rsidP="007116C4">
      <w:pPr>
        <w:pStyle w:val="ListParagraph1"/>
        <w:keepNext/>
        <w:numPr>
          <w:ilvl w:val="0"/>
          <w:numId w:val="1"/>
        </w:numPr>
        <w:tabs>
          <w:tab w:val="left" w:pos="709"/>
          <w:tab w:val="left" w:pos="993"/>
        </w:tabs>
        <w:spacing w:before="120" w:after="0" w:line="240" w:lineRule="auto"/>
        <w:ind w:left="709" w:hanging="709"/>
        <w:contextualSpacing w:val="0"/>
        <w:jc w:val="both"/>
        <w:rPr>
          <w:rFonts w:asciiTheme="minorHAnsi" w:hAnsiTheme="minorHAnsi" w:cstheme="minorHAnsi"/>
          <w:b/>
          <w:bCs/>
          <w:sz w:val="22"/>
        </w:rPr>
      </w:pPr>
      <w:r w:rsidRPr="00E415F7">
        <w:rPr>
          <w:rFonts w:asciiTheme="minorHAnsi" w:hAnsiTheme="minorHAnsi" w:cstheme="minorHAnsi"/>
          <w:b/>
          <w:bCs/>
          <w:sz w:val="22"/>
        </w:rPr>
        <w:t>Vispārīgie noteikumi</w:t>
      </w:r>
    </w:p>
    <w:p w14:paraId="2B0987E2" w14:textId="3FF47B67" w:rsidR="007116C4" w:rsidRPr="00E415F7" w:rsidRDefault="007116C4" w:rsidP="007116C4">
      <w:pPr>
        <w:spacing w:before="120" w:after="0" w:line="240" w:lineRule="auto"/>
        <w:ind w:left="357"/>
        <w:jc w:val="both"/>
        <w:rPr>
          <w:rFonts w:cstheme="minorHAnsi"/>
          <w:lang w:val="lv-LV"/>
        </w:rPr>
      </w:pPr>
      <w:r w:rsidRPr="00E415F7">
        <w:rPr>
          <w:rFonts w:cstheme="minorHAnsi"/>
          <w:lang w:val="lv-LV"/>
        </w:rPr>
        <w:t xml:space="preserve">Šie tipveida noteikumi par kukuļošanas, korupcijas un nodokļu nemaksāšanas apkarošanu, kā arī verdzības aizliegumu (turpmāk – </w:t>
      </w:r>
      <w:r w:rsidRPr="00E415F7">
        <w:rPr>
          <w:rFonts w:cstheme="minorHAnsi"/>
          <w:b/>
          <w:bCs/>
          <w:lang w:val="lv-LV"/>
        </w:rPr>
        <w:t>„Noteikumi”</w:t>
      </w:r>
      <w:r w:rsidRPr="00E415F7">
        <w:rPr>
          <w:rFonts w:cstheme="minorHAnsi"/>
          <w:lang w:val="lv-LV"/>
        </w:rPr>
        <w:t xml:space="preserve">) nosaka kukuļošanas, korupcijas, nodokļu nemaksāšanas, citu noziedzīgu nodarījumu tautsaimniecībā apkarošanas, kā arī verdzības un cilvēku tirdzniecības aizlieguma nosacījumus. Šie noteikumi ir neatņemama sadarbības līguma (turpmāk – </w:t>
      </w:r>
      <w:r w:rsidRPr="00E415F7">
        <w:rPr>
          <w:rFonts w:cstheme="minorHAnsi"/>
          <w:b/>
          <w:bCs/>
          <w:lang w:val="lv-LV"/>
        </w:rPr>
        <w:t>„Līgums”</w:t>
      </w:r>
      <w:r w:rsidRPr="00E415F7">
        <w:rPr>
          <w:rFonts w:cstheme="minorHAnsi"/>
          <w:lang w:val="lv-LV"/>
        </w:rPr>
        <w:t>) sastāvdaļa.</w:t>
      </w:r>
    </w:p>
    <w:p w14:paraId="27AEAEDD" w14:textId="6801845A" w:rsidR="007116C4" w:rsidRPr="00E415F7" w:rsidRDefault="007116C4" w:rsidP="007116C4">
      <w:pPr>
        <w:spacing w:before="120" w:after="0" w:line="240" w:lineRule="auto"/>
        <w:ind w:left="357"/>
        <w:jc w:val="both"/>
        <w:rPr>
          <w:rFonts w:cstheme="minorHAnsi"/>
          <w:lang w:val="lv-LV"/>
        </w:rPr>
      </w:pPr>
      <w:r w:rsidRPr="00E415F7">
        <w:rPr>
          <w:rFonts w:cstheme="minorHAnsi"/>
          <w:lang w:val="lv-LV"/>
        </w:rPr>
        <w:t xml:space="preserve">Noteikumi tiek piemēroti attiecībā uz </w:t>
      </w:r>
      <w:r w:rsidRPr="00E415F7">
        <w:rPr>
          <w:rFonts w:cstheme="minorHAnsi"/>
          <w:b/>
          <w:lang w:val="lv-LV"/>
        </w:rPr>
        <w:t>CCL</w:t>
      </w:r>
      <w:r w:rsidRPr="00E415F7">
        <w:rPr>
          <w:rFonts w:cstheme="minorHAnsi"/>
          <w:lang w:val="lv-LV"/>
        </w:rPr>
        <w:t xml:space="preserve"> un </w:t>
      </w:r>
      <w:r w:rsidR="002B1923">
        <w:rPr>
          <w:rFonts w:cstheme="minorHAnsi"/>
          <w:b/>
          <w:lang w:val="lv-LV"/>
        </w:rPr>
        <w:t>Klientu vai Sadarbības Partneri</w:t>
      </w:r>
      <w:r w:rsidRPr="00E415F7">
        <w:rPr>
          <w:rFonts w:cstheme="minorHAnsi"/>
          <w:lang w:val="lv-LV"/>
        </w:rPr>
        <w:t xml:space="preserve">, katrs atsevišķi turpmāk saukti par </w:t>
      </w:r>
      <w:r w:rsidRPr="00E415F7">
        <w:rPr>
          <w:rFonts w:cstheme="minorHAnsi"/>
          <w:b/>
          <w:bCs/>
          <w:lang w:val="lv-LV"/>
        </w:rPr>
        <w:t>„Pusi”</w:t>
      </w:r>
      <w:r w:rsidRPr="00E415F7">
        <w:rPr>
          <w:rFonts w:cstheme="minorHAnsi"/>
          <w:lang w:val="lv-LV"/>
        </w:rPr>
        <w:t xml:space="preserve">, bet kopā – par </w:t>
      </w:r>
      <w:r w:rsidRPr="00E415F7">
        <w:rPr>
          <w:rFonts w:cstheme="minorHAnsi"/>
          <w:b/>
          <w:bCs/>
          <w:lang w:val="lv-LV"/>
        </w:rPr>
        <w:t>„Pusēm”</w:t>
      </w:r>
      <w:r w:rsidRPr="00E415F7">
        <w:rPr>
          <w:rFonts w:cstheme="minorHAnsi"/>
          <w:lang w:val="lv-LV"/>
        </w:rPr>
        <w:t xml:space="preserve">. </w:t>
      </w:r>
    </w:p>
    <w:p w14:paraId="73770BE1" w14:textId="77777777" w:rsidR="007116C4" w:rsidRPr="00E415F7" w:rsidRDefault="007116C4" w:rsidP="007116C4">
      <w:pPr>
        <w:pStyle w:val="ListParagraph1"/>
        <w:spacing w:before="120" w:after="0" w:line="240" w:lineRule="auto"/>
        <w:ind w:left="360"/>
        <w:contextualSpacing w:val="0"/>
        <w:jc w:val="both"/>
        <w:rPr>
          <w:rFonts w:asciiTheme="minorHAnsi" w:hAnsiTheme="minorHAnsi" w:cstheme="minorHAnsi"/>
          <w:sz w:val="22"/>
        </w:rPr>
      </w:pPr>
      <w:r w:rsidRPr="00E415F7">
        <w:rPr>
          <w:rFonts w:asciiTheme="minorHAnsi" w:hAnsiTheme="minorHAnsi" w:cstheme="minorHAnsi"/>
          <w:sz w:val="22"/>
        </w:rPr>
        <w:t xml:space="preserve">Noteikumos lietotais jēdziens </w:t>
      </w:r>
      <w:r w:rsidRPr="00E415F7">
        <w:rPr>
          <w:rFonts w:asciiTheme="minorHAnsi" w:hAnsiTheme="minorHAnsi" w:cstheme="minorHAnsi"/>
          <w:b/>
          <w:bCs/>
          <w:sz w:val="22"/>
        </w:rPr>
        <w:t>„Ekonomisko noziegumu tiesību akti”</w:t>
      </w:r>
      <w:r w:rsidRPr="00E415F7">
        <w:rPr>
          <w:rFonts w:asciiTheme="minorHAnsi" w:hAnsiTheme="minorHAnsi" w:cstheme="minorHAnsi"/>
          <w:sz w:val="22"/>
        </w:rPr>
        <w:t xml:space="preserve"> nozīmē visus piemērojamos starptautiskos, Eiropas Savienības un/vai valsts tiesību aktus, kuri tieši un/vai netieši ir saistīti ar kukuļņemšanu, kukuļdošanu, krāpšanu, izvairīšanos no nodokļu nomaksas un/vai nodokļu nemaksāšanu, interešu konfliktu, iekšējās informācijas nelikumīgu izmantošanu un naudas atmazgāšanu, citiem noziegumiem un/vai kriminālpārkāpumiem, un/vai noziedzīgiem nodarījumiem un/vai administratīvajiem pārkāpumiem tautsaimniecībā.</w:t>
      </w:r>
    </w:p>
    <w:p w14:paraId="390FAE66" w14:textId="77777777" w:rsidR="007116C4" w:rsidRPr="00E415F7" w:rsidRDefault="007116C4" w:rsidP="007116C4">
      <w:pPr>
        <w:spacing w:before="120" w:after="0" w:line="240" w:lineRule="auto"/>
        <w:ind w:left="357"/>
        <w:jc w:val="both"/>
        <w:rPr>
          <w:rFonts w:cstheme="minorHAnsi"/>
          <w:lang w:val="lv-LV"/>
        </w:rPr>
      </w:pPr>
      <w:r w:rsidRPr="00E415F7">
        <w:rPr>
          <w:rFonts w:cstheme="minorHAnsi"/>
          <w:lang w:val="lv-LV"/>
        </w:rPr>
        <w:t xml:space="preserve">Noteikumos lietotais jēdziens </w:t>
      </w:r>
      <w:r w:rsidRPr="00E415F7">
        <w:rPr>
          <w:rFonts w:cstheme="minorHAnsi"/>
          <w:b/>
          <w:bCs/>
          <w:lang w:val="lv-LV"/>
        </w:rPr>
        <w:t>„Tiesību akti, ar kuriem noteikts verdzības un cilvēku tirdzniecības aizliegums”</w:t>
      </w:r>
      <w:r w:rsidRPr="00E415F7">
        <w:rPr>
          <w:rFonts w:cstheme="minorHAnsi"/>
          <w:lang w:val="lv-LV"/>
        </w:rPr>
        <w:t xml:space="preserve"> nozīmē visus piemērojamos starptautiskos, Eiropas Savienības un/vai valsts tiesību aktus, kuri tieši un/vai netieši ir saistīti un/vai kuri nosaka verdzības un/vai cilvēku tirdzniecības aizliegumu un sankcijas par šāda veida darbībām. </w:t>
      </w:r>
    </w:p>
    <w:p w14:paraId="29A25C0B" w14:textId="77777777" w:rsidR="007116C4" w:rsidRPr="00E415F7" w:rsidRDefault="007116C4" w:rsidP="007116C4">
      <w:pPr>
        <w:pStyle w:val="ListParagraph1"/>
        <w:spacing w:before="120" w:after="0" w:line="240" w:lineRule="auto"/>
        <w:ind w:left="360"/>
        <w:contextualSpacing w:val="0"/>
        <w:jc w:val="both"/>
        <w:rPr>
          <w:rFonts w:asciiTheme="minorHAnsi" w:hAnsiTheme="minorHAnsi" w:cstheme="minorHAnsi"/>
          <w:sz w:val="22"/>
        </w:rPr>
      </w:pPr>
      <w:r w:rsidRPr="00E415F7">
        <w:rPr>
          <w:rFonts w:asciiTheme="minorHAnsi" w:hAnsiTheme="minorHAnsi" w:cstheme="minorHAnsi"/>
          <w:sz w:val="22"/>
        </w:rPr>
        <w:t xml:space="preserve">Ar noteikumos lietoto jēdzienu </w:t>
      </w:r>
      <w:r w:rsidRPr="00E415F7">
        <w:rPr>
          <w:rFonts w:asciiTheme="minorHAnsi" w:hAnsiTheme="minorHAnsi" w:cstheme="minorHAnsi"/>
          <w:b/>
          <w:bCs/>
          <w:sz w:val="22"/>
        </w:rPr>
        <w:t xml:space="preserve">„Valsts un/vai pašvaldības iestāde” </w:t>
      </w:r>
      <w:r w:rsidRPr="00E415F7">
        <w:rPr>
          <w:rFonts w:asciiTheme="minorHAnsi" w:hAnsiTheme="minorHAnsi" w:cstheme="minorHAnsi"/>
          <w:sz w:val="22"/>
        </w:rPr>
        <w:t xml:space="preserve">tiek apzīmēta jebkura valsts un/vai pašvaldības iestāde un institūcija, tostarp Valsts nodokļu inspekcija un/vai Īpašās izmeklēšanas dienests, un/vai Finanšu noziegumu izmeklēšanas dienests, jebkuras kompetences un/vai instances tiesu iestāde, pirmstiesas izmeklēšanas iestādes, tostarp policija vai prokuratūra. </w:t>
      </w:r>
    </w:p>
    <w:p w14:paraId="54B1D56E" w14:textId="77777777" w:rsidR="007116C4" w:rsidRPr="00E415F7" w:rsidRDefault="007116C4" w:rsidP="007116C4">
      <w:pPr>
        <w:pStyle w:val="ListParagraph1"/>
        <w:spacing w:before="120" w:after="0" w:line="240" w:lineRule="auto"/>
        <w:ind w:left="360"/>
        <w:contextualSpacing w:val="0"/>
        <w:jc w:val="both"/>
        <w:rPr>
          <w:rFonts w:asciiTheme="minorHAnsi" w:hAnsiTheme="minorHAnsi" w:cstheme="minorHAnsi"/>
          <w:sz w:val="22"/>
        </w:rPr>
      </w:pPr>
      <w:r w:rsidRPr="00E415F7">
        <w:rPr>
          <w:rFonts w:asciiTheme="minorHAnsi" w:hAnsiTheme="minorHAnsi" w:cstheme="minorHAnsi"/>
          <w:b/>
          <w:bCs/>
          <w:sz w:val="22"/>
        </w:rPr>
        <w:t xml:space="preserve">„Valsts vai pašvaldības amatpersona” </w:t>
      </w:r>
      <w:r w:rsidRPr="00E415F7">
        <w:rPr>
          <w:rFonts w:asciiTheme="minorHAnsi" w:hAnsiTheme="minorHAnsi" w:cstheme="minorHAnsi"/>
          <w:sz w:val="22"/>
        </w:rPr>
        <w:t>ir persona, kas pilda valsts ierēdņa pienākumus; persona, kas uz darba līguma vai cita veida līguma pamata sniedz jebkura veida pakalpojumus Valsts un/vai pašvaldības iestādei.</w:t>
      </w:r>
    </w:p>
    <w:p w14:paraId="4555C915" w14:textId="77777777" w:rsidR="007116C4" w:rsidRPr="00E415F7" w:rsidRDefault="007116C4" w:rsidP="007116C4">
      <w:pPr>
        <w:pStyle w:val="ListParagraph1"/>
        <w:spacing w:before="120" w:after="0" w:line="240" w:lineRule="auto"/>
        <w:ind w:left="360"/>
        <w:contextualSpacing w:val="0"/>
        <w:jc w:val="both"/>
        <w:rPr>
          <w:rFonts w:asciiTheme="minorHAnsi" w:hAnsiTheme="minorHAnsi" w:cstheme="minorHAnsi"/>
          <w:sz w:val="22"/>
        </w:rPr>
      </w:pPr>
      <w:r w:rsidRPr="00E415F7">
        <w:rPr>
          <w:rFonts w:asciiTheme="minorHAnsi" w:hAnsiTheme="minorHAnsi" w:cstheme="minorHAnsi"/>
          <w:b/>
          <w:bCs/>
          <w:sz w:val="22"/>
        </w:rPr>
        <w:t xml:space="preserve">„Noziedzīgi nodarījumi tautsaimniecībā” </w:t>
      </w:r>
      <w:r w:rsidRPr="00E415F7">
        <w:rPr>
          <w:rFonts w:asciiTheme="minorHAnsi" w:hAnsiTheme="minorHAnsi" w:cstheme="minorHAnsi"/>
          <w:sz w:val="22"/>
        </w:rPr>
        <w:t>ir noziegumi un/vai kriminālpārkāpumi, un/vai administratīva rakstura pārkāpumi, un/vai cita veida rīcība, ar kuru tiek pārkāpti Ekonomisko noziegumu tiesību akti, vai jebkura cita darbība vai bezdarbība, kas nav atbilstoša Ekonomiskos noziegumus regulējošiem tiesību aktiem.</w:t>
      </w:r>
    </w:p>
    <w:p w14:paraId="07100898" w14:textId="77777777" w:rsidR="007116C4" w:rsidRPr="00E415F7" w:rsidRDefault="007116C4" w:rsidP="007116C4">
      <w:pPr>
        <w:spacing w:before="120" w:after="0" w:line="240" w:lineRule="auto"/>
        <w:ind w:left="357"/>
        <w:jc w:val="both"/>
        <w:rPr>
          <w:rFonts w:cstheme="minorHAnsi"/>
          <w:lang w:val="lv-LV"/>
        </w:rPr>
      </w:pPr>
      <w:r w:rsidRPr="00E415F7">
        <w:rPr>
          <w:rFonts w:cstheme="minorHAnsi"/>
          <w:lang w:val="lv-LV"/>
        </w:rPr>
        <w:t xml:space="preserve">Noteikumi nosaka vispārīgas prasības Puses uzvedībai saistībā ar Ekonomiskos noziegumus regulējošo tiesību aktu, kā arī verdzības un cilvēku tirdzniecības aizlieguma ievērošanu. Šajos Noteikumos ietvertie nosacījumi ir piemērojami līdztekus Līguma nosacījumiem. Gadījumā, ja pastāv pretrunas starp Noteikumu nosacījumiem un Līguma nosacījumiem, tiek piemēroti Līguma nosacījumi. </w:t>
      </w:r>
    </w:p>
    <w:p w14:paraId="0D265A28" w14:textId="77777777" w:rsidR="007116C4" w:rsidRPr="00E415F7" w:rsidRDefault="007116C4" w:rsidP="007116C4">
      <w:pPr>
        <w:spacing w:before="120" w:after="0" w:line="240" w:lineRule="auto"/>
        <w:ind w:left="357"/>
        <w:jc w:val="both"/>
        <w:rPr>
          <w:rFonts w:cstheme="minorHAnsi"/>
          <w:lang w:val="lv-LV"/>
        </w:rPr>
      </w:pPr>
    </w:p>
    <w:p w14:paraId="135D6715" w14:textId="77777777" w:rsidR="007116C4" w:rsidRPr="00E415F7" w:rsidRDefault="007116C4" w:rsidP="007116C4">
      <w:pPr>
        <w:spacing w:before="120" w:after="0" w:line="240" w:lineRule="auto"/>
        <w:jc w:val="center"/>
        <w:rPr>
          <w:rFonts w:cstheme="minorHAnsi"/>
          <w:b/>
          <w:lang w:val="lv-LV"/>
        </w:rPr>
      </w:pPr>
      <w:r w:rsidRPr="00E415F7">
        <w:rPr>
          <w:rFonts w:cstheme="minorHAnsi"/>
          <w:b/>
          <w:lang w:val="lv-LV"/>
        </w:rPr>
        <w:t>NOTEIKUMI SAISTĪBĀ AR NOZIEDZĪGIEM NODARĪJUMIEM TAUTSAIMNIECĪBĀ</w:t>
      </w:r>
    </w:p>
    <w:p w14:paraId="01484D1A" w14:textId="77777777" w:rsidR="007116C4" w:rsidRPr="00E415F7" w:rsidRDefault="007116C4" w:rsidP="007116C4">
      <w:pPr>
        <w:pStyle w:val="ListParagraph1"/>
        <w:keepNext/>
        <w:numPr>
          <w:ilvl w:val="0"/>
          <w:numId w:val="1"/>
        </w:numPr>
        <w:tabs>
          <w:tab w:val="left" w:pos="709"/>
          <w:tab w:val="left" w:pos="993"/>
        </w:tabs>
        <w:spacing w:before="120" w:after="0" w:line="240" w:lineRule="auto"/>
        <w:ind w:left="709" w:hanging="709"/>
        <w:contextualSpacing w:val="0"/>
        <w:jc w:val="both"/>
        <w:rPr>
          <w:rFonts w:asciiTheme="minorHAnsi" w:hAnsiTheme="minorHAnsi" w:cstheme="minorHAnsi"/>
          <w:b/>
          <w:bCs/>
          <w:sz w:val="22"/>
        </w:rPr>
      </w:pPr>
      <w:r w:rsidRPr="00E415F7">
        <w:rPr>
          <w:rFonts w:asciiTheme="minorHAnsi" w:hAnsiTheme="minorHAnsi" w:cstheme="minorHAnsi"/>
          <w:b/>
          <w:bCs/>
          <w:sz w:val="22"/>
        </w:rPr>
        <w:t>Pušu tiesības un pienākumi saistībā ar noziedzīgiem nodarījumiem tautsaimniecībā</w:t>
      </w:r>
    </w:p>
    <w:p w14:paraId="4DC281F6" w14:textId="77777777" w:rsidR="007116C4" w:rsidRPr="00E415F7" w:rsidRDefault="007116C4" w:rsidP="007116C4">
      <w:pPr>
        <w:pStyle w:val="BodyTextIndent"/>
        <w:numPr>
          <w:ilvl w:val="1"/>
          <w:numId w:val="1"/>
        </w:numPr>
        <w:spacing w:before="120"/>
        <w:ind w:left="426"/>
        <w:rPr>
          <w:rFonts w:asciiTheme="minorHAnsi" w:hAnsiTheme="minorHAnsi" w:cstheme="minorHAnsi"/>
          <w:szCs w:val="22"/>
        </w:rPr>
      </w:pPr>
      <w:r w:rsidRPr="00E415F7">
        <w:rPr>
          <w:rFonts w:asciiTheme="minorHAnsi" w:hAnsiTheme="minorHAnsi" w:cstheme="minorHAnsi"/>
          <w:szCs w:val="22"/>
        </w:rPr>
        <w:t>Līguma spēkā esamības laikā Puse:</w:t>
      </w:r>
    </w:p>
    <w:p w14:paraId="3A0097F4" w14:textId="77777777"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t>ievēro ekonomisko noziegumu tiesību aktu prasības;</w:t>
      </w:r>
    </w:p>
    <w:p w14:paraId="43D24BEC" w14:textId="77777777"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t>ievieš pienācīgas un saprātīgas procedūras nolūkā novērst Puses iesaistīšanos jebkāda veida darbībā, kas saskaņā ar ekonomisko noziegumu apkarošanas tiesību aktiem būtu uzskatāma par tiesību pārkāpumu;</w:t>
      </w:r>
    </w:p>
    <w:p w14:paraId="75B7863B" w14:textId="593B1D1A"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lastRenderedPageBreak/>
        <w:t xml:space="preserve">nekavējoties paziņo </w:t>
      </w:r>
      <w:r w:rsidRPr="00E415F7">
        <w:rPr>
          <w:rFonts w:asciiTheme="minorHAnsi" w:hAnsiTheme="minorHAnsi" w:cstheme="minorHAnsi"/>
          <w:b/>
          <w:sz w:val="22"/>
        </w:rPr>
        <w:t>CCL</w:t>
      </w:r>
      <w:r w:rsidRPr="00E415F7">
        <w:rPr>
          <w:rFonts w:asciiTheme="minorHAnsi" w:hAnsiTheme="minorHAnsi" w:cstheme="minorHAnsi"/>
          <w:sz w:val="22"/>
        </w:rPr>
        <w:t xml:space="preserve"> par jebkuru prasību, kuru </w:t>
      </w:r>
      <w:r w:rsidR="002B1923">
        <w:rPr>
          <w:rFonts w:asciiTheme="minorHAnsi" w:hAnsiTheme="minorHAnsi" w:cstheme="minorHAnsi"/>
          <w:b/>
          <w:sz w:val="22"/>
        </w:rPr>
        <w:t>Klients vai Sadarbības Partneris</w:t>
      </w:r>
      <w:r w:rsidRPr="00E415F7">
        <w:rPr>
          <w:rFonts w:asciiTheme="minorHAnsi" w:hAnsiTheme="minorHAnsi" w:cstheme="minorHAnsi"/>
          <w:sz w:val="22"/>
        </w:rPr>
        <w:t xml:space="preserve"> ir saņēmis saistībā ar šo Līgumu un ar kuru ir lūgts vai pieprasīts jebkura veida nepienācīgs finansiāls vai cita veida labums, tostarp ar šā Līguma izpildi saistītu jebkura veida trešās personas lūgumu vai pieprasījumu radīt labvēlīgākus nosacījumus, kas tieši un/vai netieši ir saistīti ar nodokļu nemaksāšanu;</w:t>
      </w:r>
    </w:p>
    <w:p w14:paraId="1CA57C0C" w14:textId="2B6DB96F"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t xml:space="preserve"> neveic nekādas darbības vai ignorē jebkuras tāda rakstura darbības, kas saskaņā ar Puses pamatotu viedokli būs par iemeslu tam, vai kā sekas būs tādas, ka </w:t>
      </w:r>
      <w:r w:rsidR="002B1923">
        <w:rPr>
          <w:rFonts w:asciiTheme="minorHAnsi" w:hAnsiTheme="minorHAnsi" w:cstheme="minorHAnsi"/>
          <w:b/>
          <w:sz w:val="22"/>
        </w:rPr>
        <w:t>Klients vai Sadarbības Partneris</w:t>
      </w:r>
      <w:r w:rsidRPr="00E415F7">
        <w:rPr>
          <w:rFonts w:asciiTheme="minorHAnsi" w:hAnsiTheme="minorHAnsi" w:cstheme="minorHAnsi"/>
          <w:sz w:val="22"/>
        </w:rPr>
        <w:t xml:space="preserve"> pieļaus ekonomisko noziegumu apkarošanas tiesību akta pārkāpumu, tostarp jebkura darbība, prakse vai uzvedība, kuru rezultātā </w:t>
      </w:r>
      <w:r w:rsidR="002B1923">
        <w:rPr>
          <w:rFonts w:asciiTheme="minorHAnsi" w:hAnsiTheme="minorHAnsi" w:cstheme="minorHAnsi"/>
          <w:b/>
          <w:sz w:val="22"/>
        </w:rPr>
        <w:t>Klients vai Sadarbības partneris</w:t>
      </w:r>
      <w:r w:rsidRPr="00E415F7">
        <w:rPr>
          <w:rFonts w:asciiTheme="minorHAnsi" w:hAnsiTheme="minorHAnsi" w:cstheme="minorHAnsi"/>
          <w:sz w:val="22"/>
        </w:rPr>
        <w:t xml:space="preserve"> pārkāps kādu no ekonomisko noziegumu apkarošanas tiesību aktiem;</w:t>
      </w:r>
    </w:p>
    <w:p w14:paraId="1394A085" w14:textId="0FABB879"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t xml:space="preserve">pēc </w:t>
      </w:r>
      <w:r w:rsidRPr="00E415F7">
        <w:rPr>
          <w:rFonts w:asciiTheme="minorHAnsi" w:hAnsiTheme="minorHAnsi" w:cstheme="minorHAnsi"/>
          <w:b/>
          <w:sz w:val="22"/>
        </w:rPr>
        <w:t>CCL</w:t>
      </w:r>
      <w:r w:rsidRPr="00E415F7">
        <w:rPr>
          <w:rFonts w:asciiTheme="minorHAnsi" w:hAnsiTheme="minorHAnsi" w:cstheme="minorHAnsi"/>
          <w:sz w:val="22"/>
        </w:rPr>
        <w:t xml:space="preserve"> pamatota pieprasījuma rakstiski apliecina, ka </w:t>
      </w:r>
      <w:r w:rsidR="002B1923">
        <w:rPr>
          <w:rFonts w:asciiTheme="minorHAnsi" w:hAnsiTheme="minorHAnsi" w:cstheme="minorHAnsi"/>
          <w:b/>
          <w:sz w:val="22"/>
        </w:rPr>
        <w:t>Klients vai Sadarbības partneris</w:t>
      </w:r>
      <w:r w:rsidRPr="00E415F7">
        <w:rPr>
          <w:rFonts w:asciiTheme="minorHAnsi" w:hAnsiTheme="minorHAnsi" w:cstheme="minorHAnsi"/>
          <w:sz w:val="22"/>
        </w:rPr>
        <w:t xml:space="preserve"> ir ievērojis savas šajos Noteikumos noteiktās saistības un sniedz jebkura veida informāciju, kuru kā šo saistību izpildes pierādījumu pamatoti pieprasījis </w:t>
      </w:r>
      <w:r w:rsidRPr="00E415F7">
        <w:rPr>
          <w:rFonts w:asciiTheme="minorHAnsi" w:hAnsiTheme="minorHAnsi" w:cstheme="minorHAnsi"/>
          <w:b/>
          <w:sz w:val="22"/>
        </w:rPr>
        <w:t>CCL</w:t>
      </w:r>
      <w:r w:rsidRPr="00E415F7">
        <w:rPr>
          <w:rFonts w:asciiTheme="minorHAnsi" w:hAnsiTheme="minorHAnsi" w:cstheme="minorHAnsi"/>
          <w:sz w:val="22"/>
        </w:rPr>
        <w:t>;</w:t>
      </w:r>
    </w:p>
    <w:p w14:paraId="47DEBEB8" w14:textId="77777777"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t xml:space="preserve">sniedz </w:t>
      </w:r>
      <w:r w:rsidRPr="00E415F7">
        <w:rPr>
          <w:rFonts w:asciiTheme="minorHAnsi" w:hAnsiTheme="minorHAnsi" w:cstheme="minorHAnsi"/>
          <w:b/>
          <w:sz w:val="22"/>
        </w:rPr>
        <w:t>CCL</w:t>
      </w:r>
      <w:r w:rsidRPr="00E415F7">
        <w:rPr>
          <w:rFonts w:asciiTheme="minorHAnsi" w:hAnsiTheme="minorHAnsi" w:cstheme="minorHAnsi"/>
          <w:sz w:val="22"/>
        </w:rPr>
        <w:t xml:space="preserve"> jebkuru pamatotu palīdzību, lai </w:t>
      </w:r>
      <w:r w:rsidRPr="00E415F7">
        <w:rPr>
          <w:rFonts w:asciiTheme="minorHAnsi" w:hAnsiTheme="minorHAnsi" w:cstheme="minorHAnsi"/>
          <w:b/>
          <w:sz w:val="22"/>
        </w:rPr>
        <w:t>CCL</w:t>
      </w:r>
      <w:r w:rsidRPr="00E415F7">
        <w:rPr>
          <w:rFonts w:asciiTheme="minorHAnsi" w:hAnsiTheme="minorHAnsi" w:cstheme="minorHAnsi"/>
          <w:sz w:val="22"/>
        </w:rPr>
        <w:t xml:space="preserve"> varētu izpildīt jebkuras darbības, kuras ekonomisko noziegumu apkarošanas tiesību aktu ievērošanas nolūkā ir pieprasījusi attiecīga valsts un/vai pašvaldības iestāde.</w:t>
      </w:r>
    </w:p>
    <w:p w14:paraId="47477FB8" w14:textId="77777777" w:rsidR="007116C4" w:rsidRPr="00E415F7" w:rsidRDefault="007116C4" w:rsidP="007116C4">
      <w:pPr>
        <w:pStyle w:val="BodyTextIndent"/>
        <w:numPr>
          <w:ilvl w:val="1"/>
          <w:numId w:val="1"/>
        </w:numPr>
        <w:spacing w:before="120"/>
        <w:ind w:left="426"/>
        <w:rPr>
          <w:rFonts w:asciiTheme="minorHAnsi" w:hAnsiTheme="minorHAnsi" w:cstheme="minorHAnsi"/>
          <w:szCs w:val="22"/>
        </w:rPr>
      </w:pPr>
      <w:r w:rsidRPr="00E415F7">
        <w:rPr>
          <w:rFonts w:asciiTheme="minorHAnsi" w:hAnsiTheme="minorHAnsi" w:cstheme="minorHAnsi"/>
          <w:szCs w:val="22"/>
        </w:rPr>
        <w:t>Puse paziņo un garantē otrai Pusei, ka:</w:t>
      </w:r>
    </w:p>
    <w:p w14:paraId="1CFB9EBF" w14:textId="77777777"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t xml:space="preserve">tā nav bijusi apsūdzēta par tāda nozieguma izdarīšanu, kura sastāvā ir kukuļdošanas vai korupcijas, krāpšanas, nodokļu nemaksāšanas vai ļaunprātības pazīmes; un/vai </w:t>
      </w:r>
    </w:p>
    <w:p w14:paraId="7C05C440" w14:textId="77777777"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t>valsts un/vai pašvaldības iestāde to nav iekļāvusi to subjektu sarakstā, kuriem, pamatojoties uz to, ka tie ir izdarījuši noziedzīgu nodarījumu, kas minēts ekonomisko noziegumu apkarošanas tiesību aktos, vai pamatojoties uz to, ka tie tiek turēti aizdomās par šādu noziedzīgu nodarījumu izdarīšanu, ir atņemtas, apturētas vai ierobežotas tiesības piedalīties publiskajos iepirkumos vai slēgt šāda veida līgumus, vai ir izteikts priekšlikums viņiem atņemt, apturēt vai ierobežot šādas tiesības;</w:t>
      </w:r>
    </w:p>
    <w:p w14:paraId="0446B44E" w14:textId="77777777"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t xml:space="preserve">tiktāl, ciktāl tai ir zināms, tā nav subjekts nevienā valsts un/vai pašvaldības iestādes ierosinātā izmeklēšanā, pratināšanā vai tiesvedībā saistībā ar ekonomisko noziegumu apkarošanas tiesību aktos paredzēta noziedzīga nodarījuma izdarīšanu vai aizdomām par šāda noziedzīga nodarījuma izdarīšanu. </w:t>
      </w:r>
    </w:p>
    <w:p w14:paraId="277FBAED" w14:textId="553E7CF4" w:rsidR="007116C4" w:rsidRPr="00E415F7" w:rsidRDefault="007116C4" w:rsidP="007116C4">
      <w:pPr>
        <w:pStyle w:val="BodyTextIndent"/>
        <w:numPr>
          <w:ilvl w:val="1"/>
          <w:numId w:val="1"/>
        </w:numPr>
        <w:spacing w:before="120"/>
        <w:ind w:left="426"/>
        <w:rPr>
          <w:rFonts w:asciiTheme="minorHAnsi" w:hAnsiTheme="minorHAnsi" w:cstheme="minorHAnsi"/>
          <w:szCs w:val="22"/>
        </w:rPr>
      </w:pPr>
      <w:r w:rsidRPr="00E415F7">
        <w:rPr>
          <w:rFonts w:asciiTheme="minorHAnsi" w:hAnsiTheme="minorHAnsi" w:cstheme="minorHAnsi"/>
          <w:szCs w:val="22"/>
        </w:rPr>
        <w:t xml:space="preserve">Gadījumā, ja </w:t>
      </w:r>
      <w:r w:rsidR="002B1923">
        <w:rPr>
          <w:rFonts w:asciiTheme="minorHAnsi" w:hAnsiTheme="minorHAnsi" w:cstheme="minorHAnsi"/>
          <w:b/>
          <w:szCs w:val="22"/>
        </w:rPr>
        <w:t>Klients vai Sadarbības Partneris</w:t>
      </w:r>
      <w:r w:rsidRPr="00E415F7">
        <w:rPr>
          <w:rFonts w:asciiTheme="minorHAnsi" w:hAnsiTheme="minorHAnsi" w:cstheme="minorHAnsi"/>
          <w:szCs w:val="22"/>
        </w:rPr>
        <w:t xml:space="preserve"> ir pārkāpis vai </w:t>
      </w:r>
      <w:r w:rsidRPr="00E415F7">
        <w:rPr>
          <w:rFonts w:asciiTheme="minorHAnsi" w:hAnsiTheme="minorHAnsi" w:cstheme="minorHAnsi"/>
          <w:b/>
          <w:szCs w:val="22"/>
        </w:rPr>
        <w:t>CCL</w:t>
      </w:r>
      <w:r w:rsidRPr="00E415F7">
        <w:rPr>
          <w:rFonts w:asciiTheme="minorHAnsi" w:hAnsiTheme="minorHAnsi" w:cstheme="minorHAnsi"/>
          <w:szCs w:val="22"/>
        </w:rPr>
        <w:t xml:space="preserve"> ir pamatotas aizdomas, ka </w:t>
      </w:r>
      <w:r w:rsidR="00EB61A8">
        <w:rPr>
          <w:rFonts w:asciiTheme="minorHAnsi" w:hAnsiTheme="minorHAnsi" w:cstheme="minorHAnsi"/>
          <w:b/>
          <w:szCs w:val="22"/>
        </w:rPr>
        <w:t>Klients vai Sadarbības Partneris</w:t>
      </w:r>
      <w:r w:rsidRPr="00E415F7">
        <w:rPr>
          <w:rFonts w:asciiTheme="minorHAnsi" w:hAnsiTheme="minorHAnsi" w:cstheme="minorHAnsi"/>
          <w:szCs w:val="22"/>
        </w:rPr>
        <w:t xml:space="preserve"> ir pārkāpis šos Noteikumus, </w:t>
      </w:r>
      <w:r w:rsidRPr="00E415F7">
        <w:rPr>
          <w:rFonts w:asciiTheme="minorHAnsi" w:hAnsiTheme="minorHAnsi" w:cstheme="minorHAnsi"/>
          <w:b/>
          <w:szCs w:val="22"/>
        </w:rPr>
        <w:t>CCL</w:t>
      </w:r>
      <w:r w:rsidRPr="00E415F7">
        <w:rPr>
          <w:rFonts w:asciiTheme="minorHAnsi" w:hAnsiTheme="minorHAnsi" w:cstheme="minorHAnsi"/>
          <w:szCs w:val="22"/>
        </w:rPr>
        <w:t xml:space="preserve"> ir tiesības nekavējoties izbeigt Līgumu, bez vēršanās tiesā un iepriekš par to neinformējot </w:t>
      </w:r>
      <w:r w:rsidR="00EB61A8">
        <w:rPr>
          <w:rFonts w:asciiTheme="minorHAnsi" w:hAnsiTheme="minorHAnsi" w:cstheme="minorHAnsi"/>
          <w:b/>
          <w:szCs w:val="22"/>
        </w:rPr>
        <w:t>Klientu vai Sadarbības Partneri</w:t>
      </w:r>
      <w:r w:rsidRPr="00E415F7">
        <w:rPr>
          <w:rFonts w:asciiTheme="minorHAnsi" w:hAnsiTheme="minorHAnsi" w:cstheme="minorHAnsi"/>
          <w:szCs w:val="22"/>
        </w:rPr>
        <w:t xml:space="preserve">, neatkarīgi no tā, vai līdz Līguma izbeigšanai ir tikusi veikta kāda darbība un vai </w:t>
      </w:r>
      <w:r w:rsidR="00EB61A8">
        <w:rPr>
          <w:rFonts w:asciiTheme="minorHAnsi" w:hAnsiTheme="minorHAnsi" w:cstheme="minorHAnsi"/>
          <w:b/>
          <w:szCs w:val="22"/>
        </w:rPr>
        <w:t>Klients vai Sadarbības Partneris</w:t>
      </w:r>
      <w:r w:rsidRPr="00E415F7">
        <w:rPr>
          <w:rFonts w:asciiTheme="minorHAnsi" w:hAnsiTheme="minorHAnsi" w:cstheme="minorHAnsi"/>
          <w:szCs w:val="22"/>
        </w:rPr>
        <w:t xml:space="preserve"> ir slēdzis līgumus ar trešām personām. Puses iepriekš vienojas, ka gadījumā, ja Līgums tiek izbeigts uz šā pamata, Līguma izbeigšanas rezultātā </w:t>
      </w:r>
      <w:r w:rsidR="00EB61A8">
        <w:rPr>
          <w:rFonts w:asciiTheme="minorHAnsi" w:hAnsiTheme="minorHAnsi" w:cstheme="minorHAnsi"/>
          <w:b/>
          <w:szCs w:val="22"/>
        </w:rPr>
        <w:t>Klientam vai Sadarbības Partnerim</w:t>
      </w:r>
      <w:r w:rsidRPr="00E415F7">
        <w:rPr>
          <w:rFonts w:asciiTheme="minorHAnsi" w:hAnsiTheme="minorHAnsi" w:cstheme="minorHAnsi"/>
          <w:szCs w:val="22"/>
        </w:rPr>
        <w:t xml:space="preserve"> radušies zaudējumi netiek atlīdzināti.</w:t>
      </w:r>
    </w:p>
    <w:p w14:paraId="6A32DE7A" w14:textId="77777777" w:rsidR="007116C4" w:rsidRPr="00E415F7" w:rsidRDefault="007116C4" w:rsidP="007116C4">
      <w:pPr>
        <w:pStyle w:val="BodyTextIndent"/>
        <w:numPr>
          <w:ilvl w:val="1"/>
          <w:numId w:val="1"/>
        </w:numPr>
        <w:spacing w:before="120"/>
        <w:ind w:left="426"/>
        <w:rPr>
          <w:rFonts w:asciiTheme="minorHAnsi" w:hAnsiTheme="minorHAnsi" w:cstheme="minorHAnsi"/>
          <w:szCs w:val="22"/>
        </w:rPr>
      </w:pPr>
      <w:r w:rsidRPr="00E415F7">
        <w:rPr>
          <w:rFonts w:asciiTheme="minorHAnsi" w:hAnsiTheme="minorHAnsi" w:cstheme="minorHAnsi"/>
          <w:szCs w:val="22"/>
        </w:rPr>
        <w:t xml:space="preserve">Abas Puses vienojas, ka Līguma spēkā esamības laikā tām būs pieņemtas un spēkā esošas politikas un atbilstošas procedūras, kuru mērķis ir novērst jebkura veida noziedzīgus nodarījumus tautsaimniecībā, tostarp kukuļošanas apkarošanas un korupcijas novēršanas politika. </w:t>
      </w:r>
    </w:p>
    <w:p w14:paraId="3C8DD9FE" w14:textId="77777777" w:rsidR="007116C4" w:rsidRPr="00E415F7" w:rsidRDefault="007116C4" w:rsidP="007116C4">
      <w:pPr>
        <w:spacing w:before="120" w:after="0" w:line="240" w:lineRule="auto"/>
        <w:jc w:val="center"/>
        <w:rPr>
          <w:rFonts w:cstheme="minorHAnsi"/>
          <w:b/>
          <w:lang w:val="lv-LV"/>
        </w:rPr>
      </w:pPr>
    </w:p>
    <w:p w14:paraId="28F0BFCA" w14:textId="77777777" w:rsidR="007116C4" w:rsidRPr="00E415F7" w:rsidRDefault="007116C4" w:rsidP="007116C4">
      <w:pPr>
        <w:spacing w:before="120" w:after="0" w:line="240" w:lineRule="auto"/>
        <w:jc w:val="center"/>
        <w:rPr>
          <w:rFonts w:cstheme="minorHAnsi"/>
          <w:b/>
          <w:lang w:val="lv-LV"/>
        </w:rPr>
      </w:pPr>
      <w:r w:rsidRPr="00E415F7">
        <w:rPr>
          <w:rFonts w:cstheme="minorHAnsi"/>
          <w:b/>
          <w:lang w:val="lv-LV"/>
        </w:rPr>
        <w:t>NOTEIKUMI SAISTĪBĀ AR VERDZĪBAS UN CILVĒKU TIRDZNIECĪBAS AIZLIEGUMU</w:t>
      </w:r>
    </w:p>
    <w:p w14:paraId="36FA6C0B" w14:textId="77777777" w:rsidR="007116C4" w:rsidRPr="00E415F7" w:rsidRDefault="007116C4" w:rsidP="007116C4">
      <w:pPr>
        <w:pStyle w:val="ListParagraph1"/>
        <w:keepNext/>
        <w:numPr>
          <w:ilvl w:val="0"/>
          <w:numId w:val="1"/>
        </w:numPr>
        <w:tabs>
          <w:tab w:val="left" w:pos="709"/>
          <w:tab w:val="left" w:pos="993"/>
        </w:tabs>
        <w:spacing w:before="120" w:after="0" w:line="240" w:lineRule="auto"/>
        <w:ind w:left="709" w:hanging="709"/>
        <w:contextualSpacing w:val="0"/>
        <w:jc w:val="both"/>
        <w:rPr>
          <w:rFonts w:asciiTheme="minorHAnsi" w:hAnsiTheme="minorHAnsi" w:cstheme="minorHAnsi"/>
          <w:b/>
          <w:bCs/>
          <w:sz w:val="22"/>
        </w:rPr>
      </w:pPr>
      <w:r w:rsidRPr="00E415F7">
        <w:rPr>
          <w:rFonts w:asciiTheme="minorHAnsi" w:hAnsiTheme="minorHAnsi" w:cstheme="minorHAnsi"/>
          <w:b/>
          <w:bCs/>
          <w:sz w:val="22"/>
        </w:rPr>
        <w:t xml:space="preserve">Pušu tiesības un pienākumi saistībā ar verdzības un cilvēku tirdzniecības aizliegumu </w:t>
      </w:r>
    </w:p>
    <w:p w14:paraId="400FBCA9" w14:textId="77777777" w:rsidR="007116C4" w:rsidRPr="00E415F7" w:rsidRDefault="007116C4" w:rsidP="007116C4">
      <w:pPr>
        <w:pStyle w:val="BodyTextIndent"/>
        <w:numPr>
          <w:ilvl w:val="1"/>
          <w:numId w:val="1"/>
        </w:numPr>
        <w:spacing w:before="120"/>
        <w:ind w:left="426"/>
        <w:rPr>
          <w:rFonts w:asciiTheme="minorHAnsi" w:hAnsiTheme="minorHAnsi" w:cstheme="minorHAnsi"/>
          <w:szCs w:val="22"/>
        </w:rPr>
      </w:pPr>
      <w:r w:rsidRPr="00E415F7">
        <w:rPr>
          <w:rFonts w:asciiTheme="minorHAnsi" w:hAnsiTheme="minorHAnsi" w:cstheme="minorHAnsi"/>
          <w:szCs w:val="22"/>
        </w:rPr>
        <w:t>Līguma spēkā esamības laikā Puse:</w:t>
      </w:r>
    </w:p>
    <w:p w14:paraId="36C570FE" w14:textId="77777777"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lastRenderedPageBreak/>
        <w:t>ievēro visu piemērojamo un attiecīgajā laika periodā spēkā esošo tiesību aktu, ar kuriem noteikts verdzības un cilvēku tirdzniecības aizliegums, prasības;</w:t>
      </w:r>
    </w:p>
    <w:p w14:paraId="4F8C92B2" w14:textId="77777777"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t>neiesaistās nekāda veida darbībā, praksē vai uzvedībā, kas ir neatbilstoša tiesību aktu, ar kuriem noteikts verdzības un cilvēku tirdzniecības aizliegums, prasībām;</w:t>
      </w:r>
    </w:p>
    <w:p w14:paraId="5EE48902" w14:textId="77777777"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t xml:space="preserve"> rūpējas par to, lai visi Puses tiešie biznesa partneri un/vai piegādātāji ievēro tiesību aktu, ar kuriem noteikts verdzības un cilvēku tirdzniecības aizliegums, prasības.</w:t>
      </w:r>
    </w:p>
    <w:p w14:paraId="00690379" w14:textId="77777777" w:rsidR="007116C4" w:rsidRPr="00E415F7" w:rsidRDefault="007116C4" w:rsidP="007116C4">
      <w:pPr>
        <w:pStyle w:val="BodyTextIndent"/>
        <w:numPr>
          <w:ilvl w:val="1"/>
          <w:numId w:val="1"/>
        </w:numPr>
        <w:spacing w:before="120"/>
        <w:ind w:left="426"/>
        <w:rPr>
          <w:rFonts w:asciiTheme="minorHAnsi" w:hAnsiTheme="minorHAnsi" w:cstheme="minorHAnsi"/>
          <w:szCs w:val="22"/>
        </w:rPr>
      </w:pPr>
      <w:r w:rsidRPr="00E415F7">
        <w:rPr>
          <w:rFonts w:asciiTheme="minorHAnsi" w:hAnsiTheme="minorHAnsi" w:cstheme="minorHAnsi"/>
          <w:szCs w:val="22"/>
        </w:rPr>
        <w:t>Puse paziņo un garantē, ka nedz Puse, nedz kāda no Puses amatpersonām vai darbiniekiem:</w:t>
      </w:r>
    </w:p>
    <w:p w14:paraId="57B6E217" w14:textId="77777777"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t xml:space="preserve">nav bijuši apsūdzēti par tāda nozieguma izdarīšanu, kura sastāvā ir verdzības un cilvēku tirdzniecības elements; </w:t>
      </w:r>
    </w:p>
    <w:p w14:paraId="1E0C81D9" w14:textId="77777777"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t xml:space="preserve">nav bijušas un šobrīd nenotiek nekādas izmeklēšanas, pratināšanas vai tiesvedības, kuras valsts un/vai pašvaldības iestāde, tostarp jebkura oficiāla starptautiskā institūcija, ierosinājusi par tāda nozieguma izdarīšanu vai aizdomām par tāda nozieguma izdarīšanu, kas saistīts ar verdzību vai cilvēku tirdzniecību; un </w:t>
      </w:r>
    </w:p>
    <w:p w14:paraId="60DE1C80" w14:textId="77777777" w:rsidR="007116C4" w:rsidRPr="00E415F7" w:rsidRDefault="007116C4" w:rsidP="007116C4">
      <w:pPr>
        <w:pStyle w:val="ListParagraph1"/>
        <w:numPr>
          <w:ilvl w:val="2"/>
          <w:numId w:val="1"/>
        </w:numPr>
        <w:spacing w:before="120" w:after="0" w:line="240" w:lineRule="auto"/>
        <w:ind w:left="1418" w:hanging="698"/>
        <w:contextualSpacing w:val="0"/>
        <w:jc w:val="both"/>
        <w:rPr>
          <w:rFonts w:asciiTheme="minorHAnsi" w:hAnsiTheme="minorHAnsi" w:cstheme="minorHAnsi"/>
          <w:sz w:val="22"/>
        </w:rPr>
      </w:pPr>
      <w:r w:rsidRPr="00E415F7">
        <w:rPr>
          <w:rFonts w:asciiTheme="minorHAnsi" w:hAnsiTheme="minorHAnsi" w:cstheme="minorHAnsi"/>
          <w:sz w:val="22"/>
        </w:rPr>
        <w:t>Puse savu darbību neīsteno tādā veidā, kas nav savietojams ar tiesību aktu, ar kuriem noteikts verdzības un cilvēku tirdzniecības aizliegums, prasībām.</w:t>
      </w:r>
    </w:p>
    <w:p w14:paraId="1DE9B7C1" w14:textId="77777777" w:rsidR="008C3D30" w:rsidRPr="007116C4" w:rsidRDefault="008C3D30">
      <w:pPr>
        <w:rPr>
          <w:lang w:val="lv-LV"/>
        </w:rPr>
      </w:pPr>
    </w:p>
    <w:sectPr w:rsidR="008C3D30" w:rsidRPr="00711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07D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C4"/>
    <w:rsid w:val="002B1923"/>
    <w:rsid w:val="007116C4"/>
    <w:rsid w:val="008C3D30"/>
    <w:rsid w:val="00D01B52"/>
    <w:rsid w:val="00EB61A8"/>
    <w:rsid w:val="00F675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4E49"/>
  <w15:chartTrackingRefBased/>
  <w15:docId w15:val="{A5B003D3-E32F-46BA-B997-39163B6D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6C4"/>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7116C4"/>
    <w:pPr>
      <w:ind w:left="720"/>
      <w:contextualSpacing/>
    </w:pPr>
    <w:rPr>
      <w:rFonts w:ascii="Times New Roman" w:eastAsia="Calibri" w:hAnsi="Times New Roman" w:cs="Times New Roman"/>
      <w:sz w:val="24"/>
      <w:lang w:val="lv-LV" w:eastAsia="lv-LV" w:bidi="lo-LA"/>
    </w:rPr>
  </w:style>
  <w:style w:type="paragraph" w:styleId="BodyTextIndent">
    <w:name w:val="Body Text Indent"/>
    <w:basedOn w:val="Normal"/>
    <w:link w:val="BodyTextIndentChar"/>
    <w:rsid w:val="007116C4"/>
    <w:pPr>
      <w:spacing w:after="0" w:line="240" w:lineRule="auto"/>
      <w:ind w:left="540" w:hanging="540"/>
      <w:jc w:val="both"/>
    </w:pPr>
    <w:rPr>
      <w:rFonts w:ascii="Times New Roman" w:eastAsia="Times New Roman" w:hAnsi="Times New Roman" w:cs="Times New Roman"/>
      <w:szCs w:val="24"/>
      <w:lang w:val="lv-LV" w:eastAsia="lv-LV" w:bidi="lo-LA"/>
    </w:rPr>
  </w:style>
  <w:style w:type="character" w:customStyle="1" w:styleId="BodyTextIndentChar">
    <w:name w:val="Body Text Indent Char"/>
    <w:basedOn w:val="DefaultParagraphFont"/>
    <w:link w:val="BodyTextIndent"/>
    <w:rsid w:val="007116C4"/>
    <w:rPr>
      <w:rFonts w:ascii="Times New Roman" w:eastAsia="Times New Roman" w:hAnsi="Times New Roman" w:cs="Times New Roman"/>
      <w:szCs w:val="24"/>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Puravs, Janis</dc:creator>
  <cp:keywords/>
  <dc:description/>
  <cp:lastModifiedBy>Puravs, Janis</cp:lastModifiedBy>
  <cp:revision>2</cp:revision>
  <dcterms:created xsi:type="dcterms:W3CDTF">2022-03-09T09:38:00Z</dcterms:created>
  <dcterms:modified xsi:type="dcterms:W3CDTF">2022-03-09T09:44:00Z</dcterms:modified>
</cp:coreProperties>
</file>